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lang w:eastAsia="en-US"/>
        </w:rPr>
        <w:id w:val="-434131806"/>
        <w:docPartObj>
          <w:docPartGallery w:val="Cover Pages"/>
          <w:docPartUnique/>
        </w:docPartObj>
      </w:sdtPr>
      <w:sdtEndPr/>
      <w:sdtContent>
        <w:p w14:paraId="5A9786BD" w14:textId="77777777" w:rsidR="00E53F54" w:rsidRDefault="00E53F54" w:rsidP="00E53F54">
          <w:pPr>
            <w:pStyle w:val="Titlepagetextcentred"/>
            <w:spacing w:before="0" w:after="0"/>
          </w:pPr>
          <w:r>
            <w:rPr>
              <w:noProof/>
            </w:rPr>
            <w:drawing>
              <wp:inline distT="0" distB="0" distL="0" distR="0" wp14:anchorId="1A1AAFAD" wp14:editId="0CD243E3">
                <wp:extent cx="869950" cy="774700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95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18D675" w14:textId="77777777" w:rsidR="00E53F54" w:rsidRDefault="00E53F54" w:rsidP="00E53F54">
          <w:pPr>
            <w:pStyle w:val="Titlepagetext"/>
          </w:pPr>
        </w:p>
        <w:tbl>
          <w:tblPr>
            <w:tblStyle w:val="TableGrid"/>
            <w:tblW w:w="9072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3389"/>
            <w:gridCol w:w="5683"/>
          </w:tblGrid>
          <w:tr w:rsidR="00E53F54" w14:paraId="30C4AC28" w14:textId="77777777" w:rsidTr="00EB68B8">
            <w:trPr>
              <w:trHeight w:val="1023"/>
            </w:trPr>
            <w:tc>
              <w:tcPr>
                <w:tcW w:w="3389" w:type="dxa"/>
                <w:hideMark/>
              </w:tcPr>
              <w:p w14:paraId="0DE7F929" w14:textId="77777777" w:rsidR="00E53F54" w:rsidRDefault="00E53F54">
                <w:pPr>
                  <w:pStyle w:val="Titlepagetext"/>
                  <w:rPr>
                    <w:b/>
                    <w:u w:val="single"/>
                    <w:lang w:eastAsia="en-US"/>
                  </w:rPr>
                </w:pPr>
                <w:r>
                  <w:rPr>
                    <w:b/>
                    <w:u w:val="single"/>
                    <w:lang w:eastAsia="en-US"/>
                  </w:rPr>
                  <w:t>IN THE COMPETITION APPEAL TRIBUNAL</w:t>
                </w:r>
              </w:p>
            </w:tc>
            <w:tc>
              <w:tcPr>
                <w:tcW w:w="5683" w:type="dxa"/>
                <w:hideMark/>
              </w:tcPr>
              <w:p w14:paraId="174E4548" w14:textId="77777777" w:rsidR="00E53F54" w:rsidRDefault="00E53F54">
                <w:pPr>
                  <w:pStyle w:val="Titlepagetextright"/>
                  <w:rPr>
                    <w:lang w:eastAsia="en-US"/>
                  </w:rPr>
                </w:pPr>
                <w:r>
                  <w:rPr>
                    <w:lang w:eastAsia="en-US"/>
                  </w:rPr>
                  <w:t xml:space="preserve">Case No:  1518/5/7/22 </w:t>
                </w:r>
              </w:p>
            </w:tc>
          </w:tr>
        </w:tbl>
        <w:p w14:paraId="040D3B93" w14:textId="77777777" w:rsidR="00E53F54" w:rsidRDefault="00E53F54" w:rsidP="00E53F54">
          <w:pPr>
            <w:spacing w:line="240" w:lineRule="auto"/>
            <w:jc w:val="center"/>
            <w:rPr>
              <w:rFonts w:eastAsia="Times New Roman" w:cs="Times New Roman"/>
              <w:lang w:eastAsia="en-GB"/>
            </w:rPr>
          </w:pPr>
        </w:p>
        <w:p w14:paraId="0AB31CFE" w14:textId="77777777" w:rsidR="00E53F54" w:rsidRDefault="00E53F54" w:rsidP="00E53F54">
          <w:pPr>
            <w:pStyle w:val="Titlepagetext"/>
          </w:pPr>
          <w:r>
            <w:t>BETWEEN:</w:t>
          </w:r>
        </w:p>
        <w:p w14:paraId="146C04A8" w14:textId="77777777" w:rsidR="00E53F54" w:rsidRDefault="00E53F54" w:rsidP="00E53F54">
          <w:pPr>
            <w:pStyle w:val="Titlepagetextcentred"/>
            <w:numPr>
              <w:ilvl w:val="0"/>
              <w:numId w:val="1"/>
            </w:numPr>
            <w:spacing w:before="0" w:after="0"/>
            <w:rPr>
              <w:b/>
              <w:bCs/>
              <w:caps/>
            </w:rPr>
          </w:pPr>
          <w:r>
            <w:rPr>
              <w:b/>
              <w:bCs/>
              <w:caps/>
            </w:rPr>
            <w:t>London Array Limited</w:t>
          </w:r>
        </w:p>
        <w:p w14:paraId="0EFB6658" w14:textId="50F1C886" w:rsidR="00E53F54" w:rsidRDefault="00E53F54" w:rsidP="00E53F54">
          <w:pPr>
            <w:pStyle w:val="Titlepagetextcentred"/>
            <w:numPr>
              <w:ilvl w:val="0"/>
              <w:numId w:val="1"/>
            </w:numPr>
            <w:spacing w:before="0" w:after="0"/>
            <w:rPr>
              <w:b/>
              <w:bCs/>
              <w:caps/>
            </w:rPr>
          </w:pPr>
          <w:r>
            <w:rPr>
              <w:b/>
              <w:bCs/>
              <w:caps/>
            </w:rPr>
            <w:t xml:space="preserve">RWE Renewables UK London Array Limited (formerly known as </w:t>
          </w:r>
          <w:proofErr w:type="gramStart"/>
          <w:r>
            <w:rPr>
              <w:b/>
              <w:bCs/>
              <w:caps/>
            </w:rPr>
            <w:t>E.On</w:t>
          </w:r>
          <w:proofErr w:type="gramEnd"/>
          <w:r>
            <w:rPr>
              <w:b/>
              <w:bCs/>
              <w:caps/>
            </w:rPr>
            <w:t xml:space="preserve"> Climate &amp; Renewables UK London Array Limited)</w:t>
          </w:r>
        </w:p>
        <w:p w14:paraId="5D91F21E" w14:textId="77777777" w:rsidR="00E53F54" w:rsidRDefault="00E53F54" w:rsidP="00E53F54">
          <w:pPr>
            <w:pStyle w:val="Titlepagetextcentred"/>
            <w:numPr>
              <w:ilvl w:val="0"/>
              <w:numId w:val="1"/>
            </w:numPr>
            <w:spacing w:before="0" w:after="0"/>
            <w:rPr>
              <w:b/>
              <w:bCs/>
              <w:caps/>
            </w:rPr>
          </w:pPr>
          <w:r>
            <w:rPr>
              <w:b/>
              <w:bCs/>
              <w:caps/>
            </w:rPr>
            <w:t>ORSTED London Array Limited (formerly known as Dong Energy London Array Limited)</w:t>
          </w:r>
        </w:p>
        <w:p w14:paraId="430252EC" w14:textId="79CA0F39" w:rsidR="00E53F54" w:rsidRPr="00311A14" w:rsidRDefault="00707AF0" w:rsidP="00E53F54">
          <w:pPr>
            <w:pStyle w:val="Titlepagetextcentred"/>
            <w:numPr>
              <w:ilvl w:val="0"/>
              <w:numId w:val="1"/>
            </w:numPr>
            <w:spacing w:before="0" w:after="0"/>
            <w:rPr>
              <w:b/>
              <w:bCs/>
              <w:caps/>
              <w:strike/>
            </w:rPr>
          </w:pPr>
          <w:r w:rsidRPr="00311A14">
            <w:rPr>
              <w:b/>
              <w:bCs/>
              <w:caps/>
              <w:strike/>
            </w:rPr>
            <w:t>GREENCOAT LON</w:t>
          </w:r>
          <w:r w:rsidR="00311A14" w:rsidRPr="00311A14">
            <w:rPr>
              <w:b/>
              <w:bCs/>
              <w:caps/>
              <w:strike/>
            </w:rPr>
            <w:t>DO</w:t>
          </w:r>
          <w:r w:rsidRPr="00311A14">
            <w:rPr>
              <w:b/>
              <w:bCs/>
              <w:caps/>
              <w:strike/>
            </w:rPr>
            <w:t xml:space="preserve">N ARRAY LIMITED (FORMERLY KNOWN AS </w:t>
          </w:r>
          <w:r w:rsidR="00E53F54" w:rsidRPr="00311A14">
            <w:rPr>
              <w:b/>
              <w:bCs/>
              <w:caps/>
              <w:strike/>
            </w:rPr>
            <w:t xml:space="preserve">Orsted London Array II Limited </w:t>
          </w:r>
          <w:r w:rsidRPr="00311A14">
            <w:rPr>
              <w:b/>
              <w:bCs/>
              <w:caps/>
              <w:strike/>
            </w:rPr>
            <w:t>AND PRIOR TO THAT</w:t>
          </w:r>
          <w:r w:rsidR="00311A14" w:rsidRPr="00311A14">
            <w:rPr>
              <w:b/>
              <w:bCs/>
              <w:caps/>
              <w:strike/>
            </w:rPr>
            <w:t xml:space="preserve"> KNOWN</w:t>
          </w:r>
          <w:r w:rsidR="00E53F54" w:rsidRPr="00311A14">
            <w:rPr>
              <w:b/>
              <w:bCs/>
              <w:caps/>
              <w:strike/>
            </w:rPr>
            <w:t xml:space="preserve"> as Dong Energy London Array II Limited)</w:t>
          </w:r>
        </w:p>
        <w:p w14:paraId="4B340266" w14:textId="77777777" w:rsidR="00E53F54" w:rsidRDefault="00E53F54" w:rsidP="00E53F54">
          <w:pPr>
            <w:pStyle w:val="Titlepagetextcentred"/>
            <w:numPr>
              <w:ilvl w:val="0"/>
              <w:numId w:val="1"/>
            </w:numPr>
            <w:spacing w:before="0" w:after="0"/>
            <w:rPr>
              <w:b/>
              <w:bCs/>
              <w:caps/>
            </w:rPr>
          </w:pPr>
          <w:r>
            <w:rPr>
              <w:b/>
              <w:bCs/>
              <w:caps/>
            </w:rPr>
            <w:t>Masdar Energy UK Limited</w:t>
          </w:r>
        </w:p>
        <w:p w14:paraId="254CD4A7" w14:textId="77777777" w:rsidR="00E53F54" w:rsidRDefault="00E53F54" w:rsidP="00E53F54">
          <w:pPr>
            <w:pStyle w:val="Titlepagetext"/>
            <w:jc w:val="right"/>
            <w:rPr>
              <w:u w:val="single"/>
            </w:rPr>
          </w:pPr>
          <w:r>
            <w:rPr>
              <w:sz w:val="22"/>
              <w:u w:val="single"/>
            </w:rPr>
            <w:t>Claimants</w:t>
          </w:r>
        </w:p>
        <w:p w14:paraId="0F86DD18" w14:textId="77777777" w:rsidR="00E53F54" w:rsidRDefault="00E53F54" w:rsidP="00E53F54">
          <w:pPr>
            <w:pStyle w:val="Titlepagetextcentred"/>
          </w:pPr>
          <w:r>
            <w:t>- v -</w:t>
          </w:r>
        </w:p>
        <w:p w14:paraId="43DC8DB4" w14:textId="77777777" w:rsidR="00E53F54" w:rsidRDefault="00E53F54" w:rsidP="00E53F54">
          <w:pPr>
            <w:pStyle w:val="Titlepagetextcentred"/>
          </w:pPr>
        </w:p>
        <w:p w14:paraId="7F34FDC4" w14:textId="77777777" w:rsidR="00E53F54" w:rsidRDefault="00E53F54" w:rsidP="00E53F54">
          <w:pPr>
            <w:pStyle w:val="Titlepagetextcentred"/>
            <w:numPr>
              <w:ilvl w:val="0"/>
              <w:numId w:val="2"/>
            </w:numPr>
            <w:spacing w:before="0" w:after="0"/>
            <w:rPr>
              <w:b/>
              <w:bCs/>
              <w:caps/>
            </w:rPr>
          </w:pPr>
          <w:r>
            <w:rPr>
              <w:b/>
              <w:bCs/>
              <w:caps/>
            </w:rPr>
            <w:t>Nexans France SAS</w:t>
          </w:r>
        </w:p>
        <w:p w14:paraId="2EF83E11" w14:textId="77777777" w:rsidR="00E53F54" w:rsidRDefault="00E53F54" w:rsidP="00E53F54">
          <w:pPr>
            <w:pStyle w:val="Titlepagetextcentred"/>
            <w:numPr>
              <w:ilvl w:val="0"/>
              <w:numId w:val="2"/>
            </w:numPr>
            <w:spacing w:before="0" w:after="0"/>
            <w:rPr>
              <w:b/>
              <w:bCs/>
              <w:caps/>
            </w:rPr>
          </w:pPr>
          <w:r>
            <w:rPr>
              <w:b/>
              <w:bCs/>
              <w:caps/>
            </w:rPr>
            <w:t>Nexans SA</w:t>
          </w:r>
        </w:p>
        <w:p w14:paraId="6E73138A" w14:textId="3A9DBB85" w:rsidR="00E53F54" w:rsidRPr="00EB68B8" w:rsidRDefault="00E53F54" w:rsidP="00EB68B8">
          <w:pPr>
            <w:pStyle w:val="Titlepagetext"/>
            <w:jc w:val="right"/>
            <w:rPr>
              <w:u w:val="single"/>
            </w:rPr>
          </w:pPr>
          <w:r>
            <w:rPr>
              <w:sz w:val="22"/>
              <w:u w:val="single"/>
            </w:rPr>
            <w:t>Defendants</w:t>
          </w:r>
        </w:p>
        <w:p w14:paraId="4FC17AE3" w14:textId="77777777" w:rsidR="00E53F54" w:rsidRDefault="00E53F54" w:rsidP="00E53F54">
          <w:pPr>
            <w:keepNext/>
            <w:keepLines/>
            <w:overflowPunct w:val="0"/>
            <w:autoSpaceDE w:val="0"/>
            <w:autoSpaceDN w:val="0"/>
            <w:adjustRightInd w:val="0"/>
            <w:spacing w:line="240" w:lineRule="auto"/>
            <w:jc w:val="center"/>
            <w:textAlignment w:val="baseline"/>
          </w:pPr>
        </w:p>
        <w:p w14:paraId="4C9423B7" w14:textId="42D4C039" w:rsidR="00E53F54" w:rsidRDefault="00E53F54" w:rsidP="00E53F54">
          <w:pPr>
            <w:pBdr>
              <w:top w:val="single" w:sz="12" w:space="10" w:color="auto"/>
              <w:bottom w:val="single" w:sz="12" w:space="10" w:color="auto"/>
            </w:pBdr>
            <w:tabs>
              <w:tab w:val="right" w:pos="9320"/>
            </w:tabs>
            <w:spacing w:line="240" w:lineRule="auto"/>
            <w:jc w:val="center"/>
            <w:rPr>
              <w:b/>
              <w:lang w:eastAsia="en-GB"/>
            </w:rPr>
          </w:pPr>
          <w:r>
            <w:rPr>
              <w:b/>
              <w:lang w:eastAsia="en-GB"/>
            </w:rPr>
            <w:t>ORDER</w:t>
          </w:r>
          <w:r w:rsidR="00311A14">
            <w:rPr>
              <w:b/>
              <w:lang w:eastAsia="en-GB"/>
            </w:rPr>
            <w:t xml:space="preserve"> FOLLOWING JUDGMENT</w:t>
          </w:r>
        </w:p>
      </w:sdtContent>
    </w:sdt>
    <w:p w14:paraId="6A2B07BB" w14:textId="77777777" w:rsidR="00E53F54" w:rsidRDefault="00E53F54" w:rsidP="001173AD"/>
    <w:p w14:paraId="0FD4927D" w14:textId="0D81E658" w:rsidR="006A495D" w:rsidRDefault="00E53F54" w:rsidP="001173AD">
      <w:pPr>
        <w:widowControl w:val="0"/>
        <w:autoSpaceDE w:val="0"/>
        <w:autoSpaceDN w:val="0"/>
        <w:spacing w:before="94" w:after="240"/>
        <w:ind w:left="100"/>
        <w:rPr>
          <w:rFonts w:eastAsia="Arial" w:cs="Times New Roman"/>
          <w:lang w:val="en-US"/>
        </w:rPr>
      </w:pPr>
      <w:r>
        <w:rPr>
          <w:rFonts w:eastAsia="Arial" w:cs="Times New Roman"/>
          <w:b/>
          <w:lang w:val="en-US"/>
        </w:rPr>
        <w:t>UPON</w:t>
      </w:r>
      <w:r>
        <w:rPr>
          <w:rFonts w:eastAsia="Arial" w:cs="Times New Roman"/>
          <w:b/>
          <w:spacing w:val="-6"/>
          <w:lang w:val="en-US"/>
        </w:rPr>
        <w:t xml:space="preserve"> </w:t>
      </w:r>
      <w:r w:rsidRPr="00E53F54">
        <w:rPr>
          <w:rFonts w:eastAsia="Arial" w:cs="Times New Roman"/>
          <w:lang w:val="en-US"/>
        </w:rPr>
        <w:t xml:space="preserve">holding </w:t>
      </w:r>
      <w:r w:rsidR="004637E2">
        <w:rPr>
          <w:rFonts w:eastAsia="Arial" w:cs="Times New Roman"/>
          <w:lang w:val="en-US"/>
        </w:rPr>
        <w:t>the trial</w:t>
      </w:r>
      <w:r w:rsidR="0051687C">
        <w:rPr>
          <w:rFonts w:eastAsia="Arial" w:cs="Times New Roman"/>
          <w:lang w:val="en-US"/>
        </w:rPr>
        <w:t xml:space="preserve"> between </w:t>
      </w:r>
      <w:r w:rsidR="008B04CC">
        <w:rPr>
          <w:rFonts w:eastAsia="Arial" w:cs="Times New Roman"/>
          <w:lang w:val="en-US"/>
        </w:rPr>
        <w:t xml:space="preserve">29 April and </w:t>
      </w:r>
      <w:r w:rsidR="00946F07">
        <w:rPr>
          <w:rFonts w:eastAsia="Arial" w:cs="Times New Roman"/>
          <w:lang w:val="en-US"/>
        </w:rPr>
        <w:t>1</w:t>
      </w:r>
      <w:r w:rsidR="008E7BC5">
        <w:rPr>
          <w:rFonts w:eastAsia="Arial" w:cs="Times New Roman"/>
          <w:lang w:val="en-US"/>
        </w:rPr>
        <w:t>9</w:t>
      </w:r>
      <w:r w:rsidR="00946F07">
        <w:rPr>
          <w:rFonts w:eastAsia="Arial" w:cs="Times New Roman"/>
          <w:lang w:val="en-US"/>
        </w:rPr>
        <w:t xml:space="preserve"> May 2025</w:t>
      </w:r>
      <w:r w:rsidR="004637E2">
        <w:rPr>
          <w:rFonts w:eastAsia="Arial" w:cs="Times New Roman"/>
          <w:lang w:val="en-US"/>
        </w:rPr>
        <w:t xml:space="preserve"> </w:t>
      </w:r>
      <w:r w:rsidR="001A5CDF">
        <w:rPr>
          <w:rFonts w:eastAsia="Arial" w:cs="Times New Roman"/>
          <w:lang w:val="en-US"/>
        </w:rPr>
        <w:t xml:space="preserve">(the “London Array Trial”) </w:t>
      </w:r>
      <w:r w:rsidR="004637E2">
        <w:rPr>
          <w:rFonts w:eastAsia="Arial" w:cs="Times New Roman"/>
          <w:lang w:val="en-US"/>
        </w:rPr>
        <w:t xml:space="preserve">of </w:t>
      </w:r>
      <w:r w:rsidR="00F8062B">
        <w:rPr>
          <w:rFonts w:eastAsia="Arial" w:cs="Times New Roman"/>
          <w:lang w:val="en-US"/>
        </w:rPr>
        <w:t>all issues in these proceedings other than the issue of pass-on by means of Renewables Obligation Certificates (the “ROC Issue”)</w:t>
      </w:r>
    </w:p>
    <w:p w14:paraId="74FE5005" w14:textId="0672D0B7" w:rsidR="00902A54" w:rsidRDefault="00E53F54" w:rsidP="00EB68B8">
      <w:pPr>
        <w:widowControl w:val="0"/>
        <w:autoSpaceDE w:val="0"/>
        <w:autoSpaceDN w:val="0"/>
        <w:spacing w:after="240"/>
        <w:ind w:left="100" w:right="198"/>
        <w:rPr>
          <w:rFonts w:eastAsia="Arial" w:cs="Times New Roman"/>
          <w:lang w:val="en-US"/>
        </w:rPr>
      </w:pPr>
      <w:r>
        <w:rPr>
          <w:rFonts w:eastAsia="Arial" w:cs="Times New Roman"/>
          <w:b/>
          <w:lang w:val="en-US"/>
        </w:rPr>
        <w:t xml:space="preserve">AND UPON </w:t>
      </w:r>
      <w:r>
        <w:rPr>
          <w:rFonts w:eastAsia="Arial" w:cs="Times New Roman"/>
          <w:lang w:val="en-US"/>
        </w:rPr>
        <w:t>hearing leading counsel for the Claimants and for the Defendants</w:t>
      </w:r>
      <w:r w:rsidR="00050B74">
        <w:rPr>
          <w:rFonts w:eastAsia="Arial" w:cs="Times New Roman"/>
          <w:lang w:val="en-US"/>
        </w:rPr>
        <w:t xml:space="preserve"> at the London Array Trial</w:t>
      </w:r>
    </w:p>
    <w:p w14:paraId="46BC1C64" w14:textId="6BEA5A95" w:rsidR="00902A54" w:rsidRPr="00902A54" w:rsidRDefault="00902A54" w:rsidP="001173AD">
      <w:pPr>
        <w:widowControl w:val="0"/>
        <w:autoSpaceDE w:val="0"/>
        <w:autoSpaceDN w:val="0"/>
        <w:spacing w:after="240"/>
        <w:ind w:left="100" w:right="198"/>
        <w:rPr>
          <w:rFonts w:eastAsia="Arial" w:cs="Times New Roman"/>
          <w:lang w:val="en-US"/>
        </w:rPr>
      </w:pPr>
      <w:r>
        <w:rPr>
          <w:rFonts w:eastAsia="Arial" w:cs="Times New Roman"/>
          <w:b/>
          <w:bCs/>
          <w:lang w:val="en-US"/>
        </w:rPr>
        <w:t xml:space="preserve">AND UPON </w:t>
      </w:r>
      <w:r>
        <w:rPr>
          <w:rFonts w:eastAsia="Arial" w:cs="Times New Roman"/>
          <w:lang w:val="en-US"/>
        </w:rPr>
        <w:t xml:space="preserve">holding a further trial between </w:t>
      </w:r>
      <w:r w:rsidR="00AC0257">
        <w:rPr>
          <w:rFonts w:eastAsia="Arial" w:cs="Times New Roman"/>
          <w:lang w:val="en-US"/>
        </w:rPr>
        <w:t>20 May and 5 June 2025 of the ROC Issue</w:t>
      </w:r>
      <w:r w:rsidR="004557D8">
        <w:rPr>
          <w:rFonts w:eastAsia="Arial" w:cs="Times New Roman"/>
          <w:lang w:val="en-US"/>
        </w:rPr>
        <w:t xml:space="preserve"> (the “ROC Issue Trial”)</w:t>
      </w:r>
    </w:p>
    <w:p w14:paraId="6BE4820C" w14:textId="02547B9E" w:rsidR="004557D8" w:rsidRPr="004557D8" w:rsidRDefault="00B519B8" w:rsidP="00EB68B8">
      <w:pPr>
        <w:widowControl w:val="0"/>
        <w:autoSpaceDE w:val="0"/>
        <w:autoSpaceDN w:val="0"/>
        <w:spacing w:before="94" w:after="240"/>
        <w:ind w:left="100"/>
        <w:rPr>
          <w:rFonts w:eastAsia="Arial" w:cs="Times New Roman"/>
          <w:bCs/>
          <w:lang w:val="en-US"/>
        </w:rPr>
      </w:pPr>
      <w:r w:rsidRPr="00B519B8">
        <w:rPr>
          <w:rFonts w:eastAsia="Arial" w:cs="Times New Roman"/>
          <w:b/>
          <w:lang w:val="en-US"/>
        </w:rPr>
        <w:lastRenderedPageBreak/>
        <w:t>AND UPON</w:t>
      </w:r>
      <w:r>
        <w:rPr>
          <w:rFonts w:eastAsia="Arial" w:cs="Times New Roman"/>
          <w:bCs/>
          <w:lang w:val="en-US"/>
        </w:rPr>
        <w:t xml:space="preserve"> judgment being handed down following the </w:t>
      </w:r>
      <w:r w:rsidR="0009746B">
        <w:rPr>
          <w:rFonts w:eastAsia="Arial" w:cs="Times New Roman"/>
          <w:bCs/>
          <w:lang w:val="en-US"/>
        </w:rPr>
        <w:t>London Array</w:t>
      </w:r>
      <w:r>
        <w:rPr>
          <w:rFonts w:eastAsia="Arial" w:cs="Times New Roman"/>
          <w:bCs/>
          <w:lang w:val="en-US"/>
        </w:rPr>
        <w:t xml:space="preserve"> trial</w:t>
      </w:r>
      <w:r w:rsidR="00A033BA">
        <w:rPr>
          <w:rFonts w:eastAsia="Arial" w:cs="Times New Roman"/>
          <w:bCs/>
          <w:lang w:val="en-US"/>
        </w:rPr>
        <w:t xml:space="preserve"> (the </w:t>
      </w:r>
      <w:r w:rsidR="004557D8">
        <w:rPr>
          <w:rFonts w:eastAsia="Arial" w:cs="Times New Roman"/>
          <w:bCs/>
          <w:lang w:val="en-US"/>
        </w:rPr>
        <w:t>“</w:t>
      </w:r>
      <w:r w:rsidR="00A033BA">
        <w:rPr>
          <w:rFonts w:eastAsia="Arial" w:cs="Times New Roman"/>
          <w:bCs/>
          <w:lang w:val="en-US"/>
        </w:rPr>
        <w:t>London Array Judgment”)</w:t>
      </w:r>
      <w:r w:rsidR="008E656F">
        <w:rPr>
          <w:rFonts w:eastAsia="Arial" w:cs="Times New Roman"/>
          <w:bCs/>
          <w:lang w:val="en-US"/>
        </w:rPr>
        <w:t xml:space="preserve"> </w:t>
      </w:r>
      <w:r w:rsidR="004557D8">
        <w:rPr>
          <w:rFonts w:eastAsia="Arial" w:cs="Times New Roman"/>
          <w:bCs/>
          <w:lang w:val="en-US"/>
        </w:rPr>
        <w:t>on 10 October 2025</w:t>
      </w:r>
    </w:p>
    <w:p w14:paraId="395CAB4D" w14:textId="77C8FD30" w:rsidR="00E53F54" w:rsidRDefault="00E53F54" w:rsidP="004F45CE">
      <w:pPr>
        <w:widowControl w:val="0"/>
        <w:autoSpaceDE w:val="0"/>
        <w:autoSpaceDN w:val="0"/>
        <w:spacing w:before="82"/>
        <w:ind w:left="102"/>
        <w:rPr>
          <w:rFonts w:eastAsia="Arial" w:cs="Times New Roman"/>
          <w:b/>
          <w:lang w:val="en-US"/>
        </w:rPr>
      </w:pPr>
      <w:r>
        <w:rPr>
          <w:rFonts w:eastAsia="Arial" w:cs="Times New Roman"/>
          <w:b/>
          <w:lang w:val="en-US"/>
        </w:rPr>
        <w:t>IT</w:t>
      </w:r>
      <w:r>
        <w:rPr>
          <w:rFonts w:eastAsia="Arial" w:cs="Times New Roman"/>
          <w:b/>
          <w:spacing w:val="-1"/>
          <w:lang w:val="en-US"/>
        </w:rPr>
        <w:t xml:space="preserve"> </w:t>
      </w:r>
      <w:r>
        <w:rPr>
          <w:rFonts w:eastAsia="Arial" w:cs="Times New Roman"/>
          <w:b/>
          <w:lang w:val="en-US"/>
        </w:rPr>
        <w:t>IS ORDERED</w:t>
      </w:r>
      <w:r w:rsidR="00992B9D">
        <w:rPr>
          <w:rFonts w:eastAsia="Arial" w:cs="Times New Roman"/>
          <w:b/>
          <w:lang w:val="en-US"/>
        </w:rPr>
        <w:t xml:space="preserve"> THAT</w:t>
      </w:r>
      <w:r w:rsidRPr="00E53F54">
        <w:rPr>
          <w:rFonts w:eastAsia="Arial" w:cs="Times New Roman"/>
          <w:spacing w:val="-4"/>
          <w:lang w:val="en-US"/>
        </w:rPr>
        <w:t>:</w:t>
      </w:r>
    </w:p>
    <w:p w14:paraId="0A24CD9D" w14:textId="77777777" w:rsidR="00B66801" w:rsidRPr="00B66801" w:rsidRDefault="00B66801" w:rsidP="001173AD">
      <w:pPr>
        <w:rPr>
          <w:b/>
        </w:rPr>
      </w:pPr>
    </w:p>
    <w:p w14:paraId="3411E9BE" w14:textId="10DDF2D9" w:rsidR="00D46A31" w:rsidRDefault="00D46A31" w:rsidP="009B1C4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</w:pPr>
      <w:r>
        <w:t xml:space="preserve">The </w:t>
      </w:r>
      <w:r w:rsidR="001A5CDF">
        <w:t xml:space="preserve">question of the form of relief to be granted in these proceedings following the handing-down of </w:t>
      </w:r>
      <w:r w:rsidR="00A033BA">
        <w:t>the London Array Judgment</w:t>
      </w:r>
      <w:r w:rsidR="00C910C6">
        <w:t xml:space="preserve"> (including both the quantum of any award of damages and any </w:t>
      </w:r>
      <w:r w:rsidR="003F50CA">
        <w:t>order as to costs</w:t>
      </w:r>
      <w:r w:rsidR="00C910C6">
        <w:t>)</w:t>
      </w:r>
      <w:r w:rsidR="00A033BA">
        <w:t xml:space="preserve"> is hereby adjourned to be determined following judgment in the </w:t>
      </w:r>
      <w:r w:rsidR="0009746B">
        <w:t xml:space="preserve">ROC </w:t>
      </w:r>
      <w:r w:rsidR="004557D8">
        <w:t xml:space="preserve">Issue </w:t>
      </w:r>
      <w:r w:rsidR="0009746B">
        <w:t xml:space="preserve">Trial. </w:t>
      </w:r>
    </w:p>
    <w:p w14:paraId="4DDC059E" w14:textId="77777777" w:rsidR="002365A9" w:rsidRDefault="002365A9" w:rsidP="002365A9">
      <w:pPr>
        <w:pStyle w:val="ListParagraph"/>
        <w:autoSpaceDE w:val="0"/>
        <w:autoSpaceDN w:val="0"/>
        <w:adjustRightInd w:val="0"/>
        <w:ind w:left="360"/>
      </w:pPr>
    </w:p>
    <w:p w14:paraId="1D305715" w14:textId="74A61EFC" w:rsidR="002365A9" w:rsidRDefault="004557D8" w:rsidP="009B1C4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</w:pPr>
      <w:r>
        <w:t>Any application for permission to appeal the London Array Judgment shall be made within three weeks of the date of the London Array Judgment pursuant to Rule 107(1)</w:t>
      </w:r>
      <w:r w:rsidR="00992B9D">
        <w:t xml:space="preserve"> of the Competition Appeal Tribunal Rules 2015</w:t>
      </w:r>
      <w:r>
        <w:t>.</w:t>
      </w:r>
    </w:p>
    <w:p w14:paraId="01E75D3E" w14:textId="77777777" w:rsidR="00855635" w:rsidRDefault="00855635" w:rsidP="00855635">
      <w:pPr>
        <w:pStyle w:val="ListParagraph"/>
        <w:autoSpaceDE w:val="0"/>
        <w:autoSpaceDN w:val="0"/>
        <w:adjustRightInd w:val="0"/>
        <w:ind w:left="360"/>
      </w:pPr>
    </w:p>
    <w:p w14:paraId="6D97013D" w14:textId="6EDC3C0B" w:rsidR="00855635" w:rsidRDefault="00855635" w:rsidP="009B1C4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</w:pPr>
      <w:r>
        <w:t xml:space="preserve">There shall be permission to apply. </w:t>
      </w:r>
    </w:p>
    <w:p w14:paraId="55812E10" w14:textId="77777777" w:rsidR="006F2971" w:rsidRPr="006F2971" w:rsidRDefault="006F2971" w:rsidP="006F2971">
      <w:pPr>
        <w:rPr>
          <w:rFonts w:eastAsia="Calibri" w:cs="Times New Roman"/>
        </w:rPr>
      </w:pPr>
    </w:p>
    <w:tbl>
      <w:tblPr>
        <w:tblW w:w="8479" w:type="dxa"/>
        <w:tblLook w:val="01E0" w:firstRow="1" w:lastRow="1" w:firstColumn="1" w:lastColumn="1" w:noHBand="0" w:noVBand="0"/>
      </w:tblPr>
      <w:tblGrid>
        <w:gridCol w:w="3510"/>
        <w:gridCol w:w="2189"/>
        <w:gridCol w:w="2780"/>
      </w:tblGrid>
      <w:tr w:rsidR="006F2971" w:rsidRPr="006F2971" w14:paraId="63EC2FE1" w14:textId="77777777" w:rsidTr="006F2971">
        <w:trPr>
          <w:trHeight w:hRule="exact" w:val="2206"/>
        </w:trPr>
        <w:tc>
          <w:tcPr>
            <w:tcW w:w="3510" w:type="dxa"/>
            <w:vAlign w:val="center"/>
          </w:tcPr>
          <w:p w14:paraId="57D0EC22" w14:textId="77777777" w:rsidR="006F2971" w:rsidRPr="006F2971" w:rsidRDefault="006F2971" w:rsidP="006F2971">
            <w:pPr>
              <w:jc w:val="left"/>
              <w:rPr>
                <w:rFonts w:eastAsia="Calibri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4969" w:type="dxa"/>
            <w:gridSpan w:val="2"/>
            <w:vAlign w:val="center"/>
          </w:tcPr>
          <w:p w14:paraId="04FFC9C5" w14:textId="77777777" w:rsidR="006F2971" w:rsidRPr="006F2971" w:rsidRDefault="006F2971" w:rsidP="006F2971">
            <w:pPr>
              <w:jc w:val="left"/>
              <w:rPr>
                <w:rFonts w:eastAsia="Calibri" w:cs="Times New Roman"/>
                <w:kern w:val="2"/>
                <w14:ligatures w14:val="standardContextual"/>
              </w:rPr>
            </w:pPr>
          </w:p>
        </w:tc>
      </w:tr>
      <w:tr w:rsidR="006F2971" w:rsidRPr="006F2971" w14:paraId="5F9C13DF" w14:textId="77777777" w:rsidTr="006F2971">
        <w:tc>
          <w:tcPr>
            <w:tcW w:w="5699" w:type="dxa"/>
            <w:gridSpan w:val="2"/>
            <w:hideMark/>
          </w:tcPr>
          <w:p w14:paraId="76F5B61C" w14:textId="65A62881" w:rsidR="006F2971" w:rsidRPr="006F2971" w:rsidRDefault="00EB68B8" w:rsidP="006F2971">
            <w:pPr>
              <w:jc w:val="left"/>
              <w:rPr>
                <w:rFonts w:eastAsia="Calibri" w:cs="Times New Roman"/>
                <w:b/>
                <w:kern w:val="2"/>
                <w14:ligatures w14:val="standardContextual"/>
              </w:rPr>
            </w:pPr>
            <w:r>
              <w:rPr>
                <w:rFonts w:eastAsia="Calibri" w:cs="Times New Roman"/>
                <w:b/>
                <w:kern w:val="2"/>
                <w14:ligatures w14:val="standardContextual"/>
              </w:rPr>
              <w:t>The Honourable Mr Justice Richards</w:t>
            </w:r>
            <w:r w:rsidR="006F2971" w:rsidRPr="006F2971">
              <w:rPr>
                <w:rFonts w:eastAsia="Calibri" w:cs="Times New Roman"/>
                <w:b/>
                <w:kern w:val="2"/>
                <w14:ligatures w14:val="standardContextual"/>
              </w:rPr>
              <w:t xml:space="preserve"> </w:t>
            </w:r>
          </w:p>
          <w:p w14:paraId="4B58352D" w14:textId="2DA01D9F" w:rsidR="006F2971" w:rsidRPr="006F2971" w:rsidRDefault="006F2971" w:rsidP="006F2971">
            <w:pPr>
              <w:jc w:val="left"/>
              <w:rPr>
                <w:rFonts w:eastAsia="Calibri" w:cs="Times New Roman"/>
                <w:kern w:val="2"/>
                <w14:ligatures w14:val="standardContextual"/>
              </w:rPr>
            </w:pPr>
            <w:r w:rsidRPr="006F2971">
              <w:rPr>
                <w:rFonts w:eastAsia="Calibri" w:cs="Times New Roman"/>
                <w:kern w:val="2"/>
                <w14:ligatures w14:val="standardContextual"/>
              </w:rPr>
              <w:t>Chair of the Competition Appeal Tribunal</w:t>
            </w:r>
          </w:p>
        </w:tc>
        <w:tc>
          <w:tcPr>
            <w:tcW w:w="2780" w:type="dxa"/>
            <w:hideMark/>
          </w:tcPr>
          <w:p w14:paraId="11FCD37F" w14:textId="6CC7E142" w:rsidR="006F2971" w:rsidRPr="006F2971" w:rsidRDefault="006F2971" w:rsidP="006F2971">
            <w:pPr>
              <w:jc w:val="right"/>
              <w:rPr>
                <w:rFonts w:eastAsia="Calibri" w:cs="Times New Roman"/>
                <w:kern w:val="2"/>
                <w14:ligatures w14:val="standardContextual"/>
              </w:rPr>
            </w:pPr>
            <w:r w:rsidRPr="006F2971">
              <w:rPr>
                <w:rFonts w:eastAsia="Calibri" w:cs="Times New Roman"/>
                <w:kern w:val="2"/>
                <w14:ligatures w14:val="standardContextual"/>
              </w:rPr>
              <w:t xml:space="preserve">Made: </w:t>
            </w:r>
            <w:r w:rsidR="00EB68B8">
              <w:rPr>
                <w:rFonts w:eastAsia="Calibri" w:cs="Times New Roman"/>
                <w:kern w:val="2"/>
                <w14:ligatures w14:val="standardContextual"/>
              </w:rPr>
              <w:t>20 October 2025</w:t>
            </w:r>
            <w:r w:rsidRPr="006F2971">
              <w:rPr>
                <w:rFonts w:eastAsia="Calibri" w:cs="Times New Roman"/>
                <w:kern w:val="2"/>
                <w14:ligatures w14:val="standardContextual"/>
              </w:rPr>
              <w:t xml:space="preserve"> </w:t>
            </w:r>
          </w:p>
          <w:p w14:paraId="2B4A61F1" w14:textId="28209C65" w:rsidR="006F2971" w:rsidRPr="006F2971" w:rsidRDefault="006F2971" w:rsidP="006F2971">
            <w:pPr>
              <w:jc w:val="right"/>
              <w:rPr>
                <w:rFonts w:eastAsia="Calibri" w:cs="Times New Roman"/>
                <w:kern w:val="2"/>
                <w14:ligatures w14:val="standardContextual"/>
              </w:rPr>
            </w:pPr>
            <w:r w:rsidRPr="006F2971">
              <w:rPr>
                <w:rFonts w:eastAsia="Calibri" w:cs="Times New Roman"/>
                <w:kern w:val="2"/>
                <w14:ligatures w14:val="standardContextual"/>
              </w:rPr>
              <w:t xml:space="preserve">Drawn: </w:t>
            </w:r>
            <w:r w:rsidR="00EB68B8">
              <w:rPr>
                <w:rFonts w:eastAsia="Calibri" w:cs="Times New Roman"/>
                <w:kern w:val="2"/>
                <w14:ligatures w14:val="standardContextual"/>
              </w:rPr>
              <w:t>22 October 2025</w:t>
            </w:r>
            <w:r w:rsidRPr="006F2971">
              <w:rPr>
                <w:rFonts w:eastAsia="Calibri" w:cs="Times New Roman"/>
                <w:kern w:val="2"/>
                <w14:ligatures w14:val="standardContextual"/>
              </w:rPr>
              <w:t xml:space="preserve"> </w:t>
            </w:r>
          </w:p>
        </w:tc>
      </w:tr>
    </w:tbl>
    <w:p w14:paraId="30438A01" w14:textId="77777777" w:rsidR="00CF4FC4" w:rsidRPr="004D26D5" w:rsidRDefault="00CF4FC4" w:rsidP="00216089">
      <w:pPr>
        <w:autoSpaceDE w:val="0"/>
        <w:autoSpaceDN w:val="0"/>
        <w:adjustRightInd w:val="0"/>
        <w:rPr>
          <w:rFonts w:cs="Times New Roman"/>
        </w:rPr>
      </w:pPr>
    </w:p>
    <w:sectPr w:rsidR="00CF4FC4" w:rsidRPr="004D26D5" w:rsidSect="00183C8B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DDF7" w14:textId="77777777" w:rsidR="00AF79FB" w:rsidRDefault="00AF79FB" w:rsidP="004F45CE">
      <w:pPr>
        <w:spacing w:line="240" w:lineRule="auto"/>
      </w:pPr>
      <w:r>
        <w:separator/>
      </w:r>
    </w:p>
  </w:endnote>
  <w:endnote w:type="continuationSeparator" w:id="0">
    <w:p w14:paraId="5587DE0D" w14:textId="77777777" w:rsidR="00AF79FB" w:rsidRDefault="00AF79FB" w:rsidP="004F4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146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C585E" w14:textId="317C57EF" w:rsidR="004F45CE" w:rsidRDefault="004F45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796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5866DDCC" w14:textId="77777777" w:rsidR="004F45CE" w:rsidRDefault="004F4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E0F4" w14:textId="77777777" w:rsidR="00AF79FB" w:rsidRDefault="00AF79FB" w:rsidP="004F45CE">
      <w:pPr>
        <w:spacing w:line="240" w:lineRule="auto"/>
      </w:pPr>
      <w:r>
        <w:separator/>
      </w:r>
    </w:p>
  </w:footnote>
  <w:footnote w:type="continuationSeparator" w:id="0">
    <w:p w14:paraId="2B59463D" w14:textId="77777777" w:rsidR="00AF79FB" w:rsidRDefault="00AF79FB" w:rsidP="004F45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24"/>
    <w:multiLevelType w:val="hybridMultilevel"/>
    <w:tmpl w:val="3614123A"/>
    <w:lvl w:ilvl="0" w:tplc="AE987F5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B3E39"/>
    <w:multiLevelType w:val="hybridMultilevel"/>
    <w:tmpl w:val="957E7E52"/>
    <w:lvl w:ilvl="0" w:tplc="8F924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748A3"/>
    <w:multiLevelType w:val="hybridMultilevel"/>
    <w:tmpl w:val="9E98A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B7213"/>
    <w:multiLevelType w:val="hybridMultilevel"/>
    <w:tmpl w:val="1AA22220"/>
    <w:lvl w:ilvl="0" w:tplc="163E871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72BFC"/>
    <w:multiLevelType w:val="hybridMultilevel"/>
    <w:tmpl w:val="CAAE1566"/>
    <w:lvl w:ilvl="0" w:tplc="3EC68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4349"/>
    <w:multiLevelType w:val="hybridMultilevel"/>
    <w:tmpl w:val="0B98303C"/>
    <w:lvl w:ilvl="0" w:tplc="BB4E1410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B41EB"/>
    <w:multiLevelType w:val="hybridMultilevel"/>
    <w:tmpl w:val="957E7E52"/>
    <w:lvl w:ilvl="0" w:tplc="8F924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3025C"/>
    <w:multiLevelType w:val="hybridMultilevel"/>
    <w:tmpl w:val="054EF4D4"/>
    <w:lvl w:ilvl="0" w:tplc="787A3C9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F5734"/>
    <w:multiLevelType w:val="hybridMultilevel"/>
    <w:tmpl w:val="C88E8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19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7956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061190">
    <w:abstractNumId w:val="8"/>
  </w:num>
  <w:num w:numId="4" w16cid:durableId="116530826">
    <w:abstractNumId w:val="6"/>
  </w:num>
  <w:num w:numId="5" w16cid:durableId="98527797">
    <w:abstractNumId w:val="3"/>
  </w:num>
  <w:num w:numId="6" w16cid:durableId="982076021">
    <w:abstractNumId w:val="2"/>
  </w:num>
  <w:num w:numId="7" w16cid:durableId="204031085">
    <w:abstractNumId w:val="4"/>
  </w:num>
  <w:num w:numId="8" w16cid:durableId="1176920198">
    <w:abstractNumId w:val="0"/>
  </w:num>
  <w:num w:numId="9" w16cid:durableId="620116895">
    <w:abstractNumId w:val="7"/>
  </w:num>
  <w:num w:numId="10" w16cid:durableId="164785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54"/>
    <w:rsid w:val="00025242"/>
    <w:rsid w:val="00050B74"/>
    <w:rsid w:val="00066059"/>
    <w:rsid w:val="0009746B"/>
    <w:rsid w:val="000B76CF"/>
    <w:rsid w:val="00114369"/>
    <w:rsid w:val="001173AD"/>
    <w:rsid w:val="00120801"/>
    <w:rsid w:val="00131A74"/>
    <w:rsid w:val="00144108"/>
    <w:rsid w:val="00183C8B"/>
    <w:rsid w:val="001959D9"/>
    <w:rsid w:val="001A5CDF"/>
    <w:rsid w:val="001B0282"/>
    <w:rsid w:val="001B046B"/>
    <w:rsid w:val="001B5F9A"/>
    <w:rsid w:val="001C2056"/>
    <w:rsid w:val="00201278"/>
    <w:rsid w:val="002056C4"/>
    <w:rsid w:val="00216089"/>
    <w:rsid w:val="002361B4"/>
    <w:rsid w:val="002365A9"/>
    <w:rsid w:val="00252DF6"/>
    <w:rsid w:val="00270E19"/>
    <w:rsid w:val="0028608A"/>
    <w:rsid w:val="0028731D"/>
    <w:rsid w:val="002A18A3"/>
    <w:rsid w:val="002B3FEC"/>
    <w:rsid w:val="002D01CC"/>
    <w:rsid w:val="002D48E8"/>
    <w:rsid w:val="00307034"/>
    <w:rsid w:val="00311A14"/>
    <w:rsid w:val="003268DC"/>
    <w:rsid w:val="0032741F"/>
    <w:rsid w:val="00335ED3"/>
    <w:rsid w:val="00351318"/>
    <w:rsid w:val="003677F6"/>
    <w:rsid w:val="003779B7"/>
    <w:rsid w:val="00382121"/>
    <w:rsid w:val="00391708"/>
    <w:rsid w:val="00397F57"/>
    <w:rsid w:val="003C03B7"/>
    <w:rsid w:val="003F50CA"/>
    <w:rsid w:val="004000D6"/>
    <w:rsid w:val="00400F60"/>
    <w:rsid w:val="00410207"/>
    <w:rsid w:val="004102AF"/>
    <w:rsid w:val="00434DEA"/>
    <w:rsid w:val="004557D8"/>
    <w:rsid w:val="00462ABB"/>
    <w:rsid w:val="004637E2"/>
    <w:rsid w:val="00474F04"/>
    <w:rsid w:val="00486B70"/>
    <w:rsid w:val="004A5692"/>
    <w:rsid w:val="004A58C7"/>
    <w:rsid w:val="004A7769"/>
    <w:rsid w:val="004C2D28"/>
    <w:rsid w:val="004C3DD6"/>
    <w:rsid w:val="004D26D5"/>
    <w:rsid w:val="004F0E25"/>
    <w:rsid w:val="004F45CE"/>
    <w:rsid w:val="00500EB9"/>
    <w:rsid w:val="00501FAD"/>
    <w:rsid w:val="0050261E"/>
    <w:rsid w:val="0051687C"/>
    <w:rsid w:val="00523796"/>
    <w:rsid w:val="005268E2"/>
    <w:rsid w:val="00540078"/>
    <w:rsid w:val="0058520F"/>
    <w:rsid w:val="005B6BF9"/>
    <w:rsid w:val="005C46E5"/>
    <w:rsid w:val="005D5964"/>
    <w:rsid w:val="005E10FE"/>
    <w:rsid w:val="00661D3F"/>
    <w:rsid w:val="006621E4"/>
    <w:rsid w:val="00664121"/>
    <w:rsid w:val="006767D3"/>
    <w:rsid w:val="006A3D5C"/>
    <w:rsid w:val="006A495D"/>
    <w:rsid w:val="006B10C8"/>
    <w:rsid w:val="006B2969"/>
    <w:rsid w:val="006B565F"/>
    <w:rsid w:val="006D0423"/>
    <w:rsid w:val="006D48FE"/>
    <w:rsid w:val="006E1540"/>
    <w:rsid w:val="006F2971"/>
    <w:rsid w:val="00706DDD"/>
    <w:rsid w:val="00707AF0"/>
    <w:rsid w:val="007617FD"/>
    <w:rsid w:val="00765C37"/>
    <w:rsid w:val="007830FA"/>
    <w:rsid w:val="00793250"/>
    <w:rsid w:val="007E5578"/>
    <w:rsid w:val="008452E7"/>
    <w:rsid w:val="00855635"/>
    <w:rsid w:val="00867400"/>
    <w:rsid w:val="00877EAE"/>
    <w:rsid w:val="00882654"/>
    <w:rsid w:val="008870A2"/>
    <w:rsid w:val="00892807"/>
    <w:rsid w:val="008B04CC"/>
    <w:rsid w:val="008C1277"/>
    <w:rsid w:val="008C3B67"/>
    <w:rsid w:val="008D21DF"/>
    <w:rsid w:val="008E656F"/>
    <w:rsid w:val="008E7BC5"/>
    <w:rsid w:val="008F41F2"/>
    <w:rsid w:val="008F4F18"/>
    <w:rsid w:val="00901B6E"/>
    <w:rsid w:val="00902A54"/>
    <w:rsid w:val="009173C2"/>
    <w:rsid w:val="00930F02"/>
    <w:rsid w:val="00936D9D"/>
    <w:rsid w:val="00946F07"/>
    <w:rsid w:val="00960A1D"/>
    <w:rsid w:val="00977F4D"/>
    <w:rsid w:val="00987BAB"/>
    <w:rsid w:val="00992B9D"/>
    <w:rsid w:val="009A5361"/>
    <w:rsid w:val="009B1C4F"/>
    <w:rsid w:val="009C07DD"/>
    <w:rsid w:val="00A033BA"/>
    <w:rsid w:val="00A2217B"/>
    <w:rsid w:val="00A412F8"/>
    <w:rsid w:val="00A46DF2"/>
    <w:rsid w:val="00A570F7"/>
    <w:rsid w:val="00A641E3"/>
    <w:rsid w:val="00A7109B"/>
    <w:rsid w:val="00A72591"/>
    <w:rsid w:val="00A748E5"/>
    <w:rsid w:val="00A8444C"/>
    <w:rsid w:val="00A85943"/>
    <w:rsid w:val="00AC0257"/>
    <w:rsid w:val="00AD7720"/>
    <w:rsid w:val="00AD7B86"/>
    <w:rsid w:val="00AF79FB"/>
    <w:rsid w:val="00B20C7C"/>
    <w:rsid w:val="00B2600E"/>
    <w:rsid w:val="00B519B8"/>
    <w:rsid w:val="00B64758"/>
    <w:rsid w:val="00B66801"/>
    <w:rsid w:val="00B71069"/>
    <w:rsid w:val="00B84B39"/>
    <w:rsid w:val="00B94C46"/>
    <w:rsid w:val="00BA0639"/>
    <w:rsid w:val="00BA287B"/>
    <w:rsid w:val="00BA50D2"/>
    <w:rsid w:val="00BB3179"/>
    <w:rsid w:val="00BC4647"/>
    <w:rsid w:val="00BD07AB"/>
    <w:rsid w:val="00BE3AA7"/>
    <w:rsid w:val="00BF36B2"/>
    <w:rsid w:val="00C47B41"/>
    <w:rsid w:val="00C52062"/>
    <w:rsid w:val="00C54034"/>
    <w:rsid w:val="00C704A0"/>
    <w:rsid w:val="00C852CE"/>
    <w:rsid w:val="00C85DF1"/>
    <w:rsid w:val="00C878A1"/>
    <w:rsid w:val="00C910C6"/>
    <w:rsid w:val="00CA207C"/>
    <w:rsid w:val="00CA344E"/>
    <w:rsid w:val="00CA6284"/>
    <w:rsid w:val="00CB45E8"/>
    <w:rsid w:val="00CC4B1A"/>
    <w:rsid w:val="00CF4FC4"/>
    <w:rsid w:val="00D02F32"/>
    <w:rsid w:val="00D268B2"/>
    <w:rsid w:val="00D46A31"/>
    <w:rsid w:val="00D63A63"/>
    <w:rsid w:val="00D7126A"/>
    <w:rsid w:val="00D84993"/>
    <w:rsid w:val="00D908B4"/>
    <w:rsid w:val="00DB6FC9"/>
    <w:rsid w:val="00E14D67"/>
    <w:rsid w:val="00E15398"/>
    <w:rsid w:val="00E35D33"/>
    <w:rsid w:val="00E53F54"/>
    <w:rsid w:val="00E93A55"/>
    <w:rsid w:val="00EA2E01"/>
    <w:rsid w:val="00EB68B8"/>
    <w:rsid w:val="00EB6DD1"/>
    <w:rsid w:val="00EE76B6"/>
    <w:rsid w:val="00F209BD"/>
    <w:rsid w:val="00F23BEA"/>
    <w:rsid w:val="00F32404"/>
    <w:rsid w:val="00F373B8"/>
    <w:rsid w:val="00F52C99"/>
    <w:rsid w:val="00F71A05"/>
    <w:rsid w:val="00F8062B"/>
    <w:rsid w:val="00F913A1"/>
    <w:rsid w:val="00FB5FD9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C74E"/>
  <w15:chartTrackingRefBased/>
  <w15:docId w15:val="{8EEEE649-AFC6-42AE-A81B-B764DBEE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54"/>
    <w:pPr>
      <w:jc w:val="both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text">
    <w:name w:val="Title page text"/>
    <w:basedOn w:val="Normal"/>
    <w:uiPriority w:val="14"/>
    <w:qFormat/>
    <w:rsid w:val="00E53F54"/>
    <w:pPr>
      <w:spacing w:before="120" w:after="120" w:line="240" w:lineRule="auto"/>
      <w:jc w:val="left"/>
    </w:pPr>
    <w:rPr>
      <w:lang w:eastAsia="en-GB"/>
    </w:rPr>
  </w:style>
  <w:style w:type="paragraph" w:customStyle="1" w:styleId="Titlepagetextcentred">
    <w:name w:val="Title page text centred"/>
    <w:basedOn w:val="Titlepagetext"/>
    <w:uiPriority w:val="15"/>
    <w:qFormat/>
    <w:rsid w:val="00E53F54"/>
    <w:pPr>
      <w:jc w:val="center"/>
    </w:pPr>
  </w:style>
  <w:style w:type="paragraph" w:customStyle="1" w:styleId="Titlepagetextright">
    <w:name w:val="Title page text right"/>
    <w:basedOn w:val="Titlepagetextcentred"/>
    <w:next w:val="Titlepagetextcentred"/>
    <w:uiPriority w:val="16"/>
    <w:qFormat/>
    <w:rsid w:val="00E53F54"/>
    <w:pPr>
      <w:jc w:val="right"/>
    </w:pPr>
  </w:style>
  <w:style w:type="table" w:styleId="TableGrid">
    <w:name w:val="Table Grid"/>
    <w:basedOn w:val="TableNormal"/>
    <w:uiPriority w:val="39"/>
    <w:rsid w:val="00E53F54"/>
    <w:pPr>
      <w:spacing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F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5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5CE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4F45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CE"/>
    <w:rPr>
      <w:rFonts w:cstheme="minorBidi"/>
    </w:rPr>
  </w:style>
  <w:style w:type="paragraph" w:customStyle="1" w:styleId="Default">
    <w:name w:val="Default"/>
    <w:rsid w:val="004F45C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6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801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01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8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1D3F"/>
    <w:pPr>
      <w:spacing w:line="240" w:lineRule="auto"/>
    </w:pPr>
    <w:rPr>
      <w:rFonts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539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398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398"/>
    <w:rPr>
      <w:vertAlign w:val="superscript"/>
    </w:rPr>
  </w:style>
  <w:style w:type="paragraph" w:styleId="BodyText">
    <w:name w:val="Body Text"/>
    <w:basedOn w:val="Normal"/>
    <w:link w:val="BodyTextChar"/>
    <w:semiHidden/>
    <w:unhideWhenUsed/>
    <w:qFormat/>
    <w:rsid w:val="004557D8"/>
    <w:pPr>
      <w:spacing w:after="240" w:line="240" w:lineRule="auto"/>
    </w:pPr>
    <w:rPr>
      <w:rFonts w:ascii="Arial" w:eastAsia="SimSun" w:hAnsi="Arial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4557D8"/>
    <w:rPr>
      <w:rFonts w:ascii="Arial" w:eastAsia="SimSu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Document" ma:contentTypeID="0x010100E1447F9995AA2141978FF554C72F0CF500582B985C612BCB41B92EB529BFE9F990" ma:contentTypeVersion="4" ma:contentTypeDescription="" ma:contentTypeScope="" ma:versionID="a40603bc70d12065bd49a09949efa0a7">
  <xsd:schema xmlns:xsd="http://www.w3.org/2001/XMLSchema" xmlns:xs="http://www.w3.org/2001/XMLSchema" xmlns:p="http://schemas.microsoft.com/office/2006/metadata/properties" xmlns:ns2="958c493e-a35b-4e13-aea4-9a56f7ebf741" xmlns:ns3="14073205-2d2e-44a6-9326-fbaff2ee2839" targetNamespace="http://schemas.microsoft.com/office/2006/metadata/properties" ma:root="true" ma:fieldsID="8b8c8f916afdd00a5d36f70abdf427a4" ns2:_="" ns3:_="">
    <xsd:import namespace="958c493e-a35b-4e13-aea4-9a56f7ebf741"/>
    <xsd:import namespace="14073205-2d2e-44a6-9326-fbaff2ee28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seName" minOccurs="0"/>
                <xsd:element ref="ns2:CaseNumber" minOccurs="0"/>
                <xsd:element ref="ns2:ShortFormName" minOccurs="0"/>
                <xsd:element ref="ns2:ParentCase" minOccurs="0"/>
                <xsd:element ref="ns2:RelatedCase" minOccurs="0"/>
                <xsd:element ref="ns2:MarkCasePrivate"/>
                <xsd:element ref="ns2:ConfidentialityRing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493e-a35b-4e13-aea4-9a56f7ebf7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seName" ma:index="11" nillable="true" ma:displayName="Case Name" ma:internalName="CaseName">
      <xsd:simpleType>
        <xsd:restriction base="dms:Text">
          <xsd:maxLength value="255"/>
        </xsd:restriction>
      </xsd:simpleType>
    </xsd:element>
    <xsd:element name="CaseNumber" ma:index="12" nillable="true" ma:displayName="Case Number" ma:internalName="CaseNumber">
      <xsd:simpleType>
        <xsd:restriction base="dms:Text">
          <xsd:maxLength value="255"/>
        </xsd:restriction>
      </xsd:simpleType>
    </xsd:element>
    <xsd:element name="ShortFormName" ma:index="13" nillable="true" ma:displayName="Short Form Case Name" ma:internalName="ShortFormName">
      <xsd:simpleType>
        <xsd:restriction base="dms:Text">
          <xsd:maxLength value="255"/>
        </xsd:restriction>
      </xsd:simpleType>
    </xsd:element>
    <xsd:element name="ParentCase" ma:index="14" nillable="true" ma:displayName="Parent Case" ma:internalName="ParentCase">
      <xsd:simpleType>
        <xsd:restriction base="dms:Text">
          <xsd:maxLength value="255"/>
        </xsd:restriction>
      </xsd:simpleType>
    </xsd:element>
    <xsd:element name="RelatedCase" ma:index="15" nillable="true" ma:displayName="Related Case(s)" ma:internalName="RelatedCase">
      <xsd:simpleType>
        <xsd:restriction base="dms:Text">
          <xsd:maxLength value="255"/>
        </xsd:restriction>
      </xsd:simpleType>
    </xsd:element>
    <xsd:element name="MarkCasePrivate" ma:index="16" ma:displayName="Mark As Private" ma:default="No" ma:format="RadioButtons" ma:internalName="MarkCasePrivate">
      <xsd:simpleType>
        <xsd:restriction base="dms:Choice">
          <xsd:enumeration value="No"/>
          <xsd:enumeration value="Yes"/>
        </xsd:restriction>
      </xsd:simpleType>
    </xsd:element>
    <xsd:element name="ConfidentialityRing" ma:index="17" nillable="true" ma:displayName="Confidentiality Ring" ma:default="0" ma:internalName="ConfidentialityR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73205-2d2e-44a6-9326-fbaff2ee2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roperties xmlns="http://www.imanage.com/work/xmlschema">
  <documentid>WS_HAUSFELD_UK!5254710.1</documentid>
  <senderid>GBICCIOLO</senderid>
  <senderemail>GBICCIOLO@HAUSFELD.COM</senderemail>
  <lastmodified>2025-10-16T10:12:00.0000000+01:00</lastmodified>
  <database>WS_HAUSFELD_UK</database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Number xmlns="958c493e-a35b-4e13-aea4-9a56f7ebf741" xsi:nil="true"/>
    <ShortFormName xmlns="958c493e-a35b-4e13-aea4-9a56f7ebf741" xsi:nil="true"/>
    <RelatedCase xmlns="958c493e-a35b-4e13-aea4-9a56f7ebf741" xsi:nil="true"/>
    <ParentCase xmlns="958c493e-a35b-4e13-aea4-9a56f7ebf741" xsi:nil="true"/>
    <ConfidentialityRing xmlns="958c493e-a35b-4e13-aea4-9a56f7ebf741">false</ConfidentialityRing>
    <CaseName xmlns="958c493e-a35b-4e13-aea4-9a56f7ebf741" xsi:nil="true"/>
    <MarkCasePrivate xmlns="958c493e-a35b-4e13-aea4-9a56f7ebf741">No</MarkCasePrivate>
    <_dlc_DocId xmlns="958c493e-a35b-4e13-aea4-9a56f7ebf741">6KE544F4ZHMC-1504736261-35</_dlc_DocId>
    <_dlc_DocIdUrl xmlns="958c493e-a35b-4e13-aea4-9a56f7ebf741">
      <Url>https://catribunal.sharepoint.com/sites/case/1518/_layouts/15/DocIdRedir.aspx?ID=6KE544F4ZHMC-1504736261-35</Url>
      <Description>6KE544F4ZHMC-1504736261-35</Description>
    </_dlc_DocIdUrl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 E M E A ! 1 5 8 1 3 9 9 6 0 . 1 < / d o c u m e n t i d >  
     < s e n d e r i d > S I L V A I S < / s e n d e r i d >  
     < s e n d e r e m a i l > I S A B E L L A . C O N C E I C A O . S I L V A @ W H I T E C A S E . C O M < / s e n d e r e m a i l >  
     < l a s t m o d i f i e d > 2 0 2 5 - 1 0 - 1 6 T 1 3 : 4 0 : 0 0 . 0 0 0 0 0 0 0 + 0 1 : 0 0 < / l a s t m o d i f i e d >  
     < d a t a b a s e > E M E A 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411297-C39A-437B-A01F-B38A073FA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c493e-a35b-4e13-aea4-9a56f7ebf741"/>
    <ds:schemaRef ds:uri="14073205-2d2e-44a6-9326-fbaff2ee2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BE01D-879E-4842-A1C9-1ECBB4DF298E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54F8B537-98D1-4032-9B2F-B1B0E7809B0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14073205-2d2e-44a6-9326-fbaff2ee283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8c493e-a35b-4e13-aea4-9a56f7ebf74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2D4109-EAF0-4BCD-8132-24C3687AC589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8C2ACD80-AF17-4673-A6C2-F3B1116676F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4681AE3-BD6B-45EC-83D8-1DBB22EA316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1471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West</dc:creator>
  <cp:lastModifiedBy>Jean McCarthy (CAT)</cp:lastModifiedBy>
  <cp:revision>12</cp:revision>
  <cp:lastPrinted>2023-03-03T21:09:00Z</cp:lastPrinted>
  <dcterms:created xsi:type="dcterms:W3CDTF">2025-10-16T12:40:00Z</dcterms:created>
  <dcterms:modified xsi:type="dcterms:W3CDTF">2025-10-22T14:26:00Z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T_ELITE_CLIENT">
    <vt:lpwstr>1236189</vt:lpwstr>
  </property>
  <property fmtid="{D5CDD505-2E9C-101B-9397-08002B2CF9AE}" pid="3" name="NRT_ELITE_MATTER">
    <vt:lpwstr>0043</vt:lpwstr>
  </property>
  <property fmtid="{D5CDD505-2E9C-101B-9397-08002B2CF9AE}" pid="4" name="NRT_Author">
    <vt:lpwstr>SILVAIS</vt:lpwstr>
  </property>
  <property fmtid="{D5CDD505-2E9C-101B-9397-08002B2CF9AE}" pid="5" name="NRT_AuthorDescription">
    <vt:lpwstr>Conceicao Silva, Isabella</vt:lpwstr>
  </property>
  <property fmtid="{D5CDD505-2E9C-101B-9397-08002B2CF9AE}" pid="6" name="NRT_DocNumber">
    <vt:lpwstr>158139960</vt:lpwstr>
  </property>
  <property fmtid="{D5CDD505-2E9C-101B-9397-08002B2CF9AE}" pid="7" name="NRT_DocVersion">
    <vt:lpwstr>1</vt:lpwstr>
  </property>
  <property fmtid="{D5CDD505-2E9C-101B-9397-08002B2CF9AE}" pid="8" name="NRT_DocName">
    <vt:lpwstr>2025-10-16 - London Array -  Draft Order following judgment (+W&amp;C)</vt:lpwstr>
  </property>
  <property fmtid="{D5CDD505-2E9C-101B-9397-08002B2CF9AE}" pid="9" name="NRT_Database">
    <vt:lpwstr>EMEA</vt:lpwstr>
  </property>
  <property fmtid="{D5CDD505-2E9C-101B-9397-08002B2CF9AE}" pid="10" name="NRT_Operator">
    <vt:lpwstr>SILVAIS</vt:lpwstr>
  </property>
  <property fmtid="{D5CDD505-2E9C-101B-9397-08002B2CF9AE}" pid="11" name="pDocRef">
    <vt:lpwstr>1236189-0043.SILVAIS</vt:lpwstr>
  </property>
  <property fmtid="{D5CDD505-2E9C-101B-9397-08002B2CF9AE}" pid="12" name="pDocNumber">
    <vt:lpwstr>158139960_1</vt:lpwstr>
  </property>
  <property fmtid="{D5CDD505-2E9C-101B-9397-08002B2CF9AE}" pid="13" name="ModifiedDate">
    <vt:lpwstr/>
  </property>
  <property fmtid="{D5CDD505-2E9C-101B-9397-08002B2CF9AE}" pid="14" name="CreateDate">
    <vt:lpwstr>01/01/0001 00:00:00</vt:lpwstr>
  </property>
  <property fmtid="{D5CDD505-2E9C-101B-9397-08002B2CF9AE}" pid="15" name="FileModifyDate">
    <vt:lpwstr>01/01/0001 00:00:00</vt:lpwstr>
  </property>
  <property fmtid="{D5CDD505-2E9C-101B-9397-08002B2CF9AE}" pid="16" name="FileCreateDate">
    <vt:lpwstr>01/01/0001 00:00:00</vt:lpwstr>
  </property>
  <property fmtid="{D5CDD505-2E9C-101B-9397-08002B2CF9AE}" pid="17" name="ContentTypeId">
    <vt:lpwstr>0x010100E1447F9995AA2141978FF554C72F0CF500582B985C612BCB41B92EB529BFE9F990</vt:lpwstr>
  </property>
  <property fmtid="{D5CDD505-2E9C-101B-9397-08002B2CF9AE}" pid="18" name="_dlc_DocIdItemGuid">
    <vt:lpwstr>26d72528-8c47-4e76-aef2-5afa74ac538d</vt:lpwstr>
  </property>
</Properties>
</file>